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A1" w:rsidRPr="006958A1" w:rsidRDefault="006958A1" w:rsidP="006958A1">
      <w:pPr>
        <w:jc w:val="center"/>
        <w:rPr>
          <w:b/>
          <w:sz w:val="48"/>
          <w:szCs w:val="48"/>
        </w:rPr>
      </w:pPr>
      <w:r w:rsidRPr="006958A1">
        <w:rPr>
          <w:b/>
          <w:sz w:val="48"/>
          <w:szCs w:val="48"/>
        </w:rPr>
        <w:t>Technical Specifications</w:t>
      </w:r>
    </w:p>
    <w:p w:rsidR="006958A1" w:rsidRPr="006958A1" w:rsidRDefault="006958A1" w:rsidP="006958A1">
      <w:pPr>
        <w:jc w:val="center"/>
        <w:rPr>
          <w:b/>
          <w:sz w:val="28"/>
          <w:szCs w:val="28"/>
        </w:rPr>
      </w:pPr>
      <w:r w:rsidRPr="006958A1">
        <w:rPr>
          <w:b/>
          <w:sz w:val="28"/>
          <w:szCs w:val="28"/>
        </w:rPr>
        <w:t>(RFQ) Supply &amp; Delivery of Toners with Free Use of Printers</w:t>
      </w:r>
    </w:p>
    <w:p w:rsidR="006958A1" w:rsidRPr="006958A1" w:rsidRDefault="006958A1" w:rsidP="006958A1">
      <w:pPr>
        <w:jc w:val="center"/>
        <w:rPr>
          <w:b/>
          <w:sz w:val="10"/>
          <w:szCs w:val="1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020"/>
        <w:gridCol w:w="1530"/>
      </w:tblGrid>
      <w:tr w:rsidR="006958A1" w:rsidRPr="006958A1" w:rsidTr="00095DD5">
        <w:trPr>
          <w:trHeight w:val="440"/>
        </w:trPr>
        <w:tc>
          <w:tcPr>
            <w:tcW w:w="9360" w:type="dxa"/>
            <w:gridSpan w:val="3"/>
            <w:shd w:val="clear" w:color="auto" w:fill="FFFFFF"/>
            <w:vAlign w:val="center"/>
          </w:tcPr>
          <w:p w:rsidR="006958A1" w:rsidRPr="006958A1" w:rsidRDefault="006958A1" w:rsidP="006958A1">
            <w:pPr>
              <w:numPr>
                <w:ilvl w:val="0"/>
                <w:numId w:val="7"/>
              </w:numPr>
              <w:jc w:val="center"/>
              <w:rPr>
                <w:b/>
                <w:bCs/>
                <w:color w:val="000000"/>
              </w:rPr>
            </w:pPr>
            <w:r w:rsidRPr="006958A1">
              <w:rPr>
                <w:b/>
                <w:sz w:val="28"/>
                <w:szCs w:val="28"/>
              </w:rPr>
              <w:t>The Provider shall provide good quality printing solution as specified by the Office of the Solicitor General (OSG) as follows:</w:t>
            </w:r>
          </w:p>
        </w:tc>
      </w:tr>
      <w:tr w:rsidR="006958A1" w:rsidRPr="006958A1" w:rsidTr="00095DD5">
        <w:trPr>
          <w:trHeight w:val="440"/>
        </w:trPr>
        <w:tc>
          <w:tcPr>
            <w:tcW w:w="810" w:type="dxa"/>
            <w:shd w:val="clear" w:color="auto" w:fill="FFFFFF"/>
            <w:vAlign w:val="center"/>
          </w:tcPr>
          <w:p w:rsidR="006958A1" w:rsidRPr="006958A1" w:rsidRDefault="006958A1" w:rsidP="006958A1">
            <w:pPr>
              <w:jc w:val="center"/>
              <w:rPr>
                <w:rFonts w:cs="Arial"/>
                <w:b/>
                <w:bCs/>
                <w:color w:val="000000"/>
              </w:rPr>
            </w:pPr>
            <w:r w:rsidRPr="006958A1">
              <w:rPr>
                <w:rFonts w:cs="Arial"/>
                <w:b/>
                <w:bCs/>
                <w:color w:val="000000"/>
              </w:rPr>
              <w:t>Item</w:t>
            </w:r>
          </w:p>
        </w:tc>
        <w:tc>
          <w:tcPr>
            <w:tcW w:w="7020" w:type="dxa"/>
            <w:shd w:val="clear" w:color="auto" w:fill="FFFFFF"/>
            <w:vAlign w:val="center"/>
          </w:tcPr>
          <w:p w:rsidR="006958A1" w:rsidRPr="006958A1" w:rsidRDefault="006958A1" w:rsidP="006958A1">
            <w:pPr>
              <w:jc w:val="center"/>
              <w:rPr>
                <w:rFonts w:cs="Arial"/>
                <w:b/>
                <w:bCs/>
                <w:color w:val="000000"/>
              </w:rPr>
            </w:pPr>
            <w:r w:rsidRPr="006958A1">
              <w:rPr>
                <w:rFonts w:cs="Arial"/>
                <w:b/>
                <w:bCs/>
                <w:color w:val="000000"/>
              </w:rPr>
              <w:t>Specification / Particular</w:t>
            </w:r>
          </w:p>
        </w:tc>
        <w:tc>
          <w:tcPr>
            <w:tcW w:w="1530" w:type="dxa"/>
            <w:shd w:val="clear" w:color="auto" w:fill="FFFFFF"/>
          </w:tcPr>
          <w:p w:rsidR="006958A1" w:rsidRPr="006958A1" w:rsidRDefault="006958A1" w:rsidP="006958A1">
            <w:pPr>
              <w:jc w:val="center"/>
              <w:rPr>
                <w:rFonts w:cs="Arial"/>
                <w:b/>
                <w:bCs/>
                <w:color w:val="000000"/>
              </w:rPr>
            </w:pPr>
            <w:r w:rsidRPr="006958A1">
              <w:rPr>
                <w:rFonts w:cs="Arial"/>
                <w:b/>
                <w:bCs/>
                <w:color w:val="000000"/>
              </w:rPr>
              <w:t>Statement of Compliance</w:t>
            </w:r>
          </w:p>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szCs w:val="24"/>
              </w:rPr>
            </w:pPr>
            <w:r w:rsidRPr="006958A1">
              <w:rPr>
                <w:szCs w:val="24"/>
              </w:rPr>
              <w:t xml:space="preserve">The </w:t>
            </w:r>
            <w:r w:rsidRPr="006958A1">
              <w:rPr>
                <w:b/>
                <w:szCs w:val="24"/>
              </w:rPr>
              <w:t>Provider</w:t>
            </w:r>
            <w:r w:rsidRPr="006958A1">
              <w:rPr>
                <w:szCs w:val="24"/>
              </w:rPr>
              <w:t xml:space="preserve"> shall provide </w:t>
            </w:r>
            <w:proofErr w:type="gramStart"/>
            <w:r w:rsidRPr="006958A1">
              <w:rPr>
                <w:b/>
                <w:szCs w:val="24"/>
              </w:rPr>
              <w:t>fifty five</w:t>
            </w:r>
            <w:proofErr w:type="gramEnd"/>
            <w:r w:rsidRPr="006958A1">
              <w:rPr>
                <w:b/>
                <w:szCs w:val="24"/>
              </w:rPr>
              <w:t xml:space="preserve"> (55) free of charge brand new network ready laser jet printer</w:t>
            </w:r>
            <w:r w:rsidRPr="006958A1">
              <w:rPr>
                <w:szCs w:val="24"/>
              </w:rPr>
              <w:t xml:space="preserve"> with the following specifications:</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Printer type: </w:t>
            </w:r>
            <w:r w:rsidRPr="006958A1">
              <w:rPr>
                <w:i/>
                <w:szCs w:val="24"/>
              </w:rPr>
              <w:t>Monochrome laser printer</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Print speed: </w:t>
            </w:r>
            <w:r w:rsidRPr="006958A1">
              <w:rPr>
                <w:i/>
                <w:szCs w:val="24"/>
              </w:rPr>
              <w:t>Up to 30 ppm (1-sided plain paper, letter), Up to 16 ppm (2-sided plain paper, letter)</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First print out time: </w:t>
            </w:r>
            <w:r w:rsidRPr="006958A1">
              <w:rPr>
                <w:i/>
                <w:szCs w:val="24"/>
              </w:rPr>
              <w:t>6 sec</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Print resolution: </w:t>
            </w:r>
            <w:r w:rsidRPr="006958A1">
              <w:rPr>
                <w:i/>
                <w:szCs w:val="24"/>
              </w:rPr>
              <w:t>600x600 dpi</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Maximum print size: </w:t>
            </w:r>
            <w:r w:rsidRPr="006958A1">
              <w:rPr>
                <w:i/>
                <w:szCs w:val="24"/>
              </w:rPr>
              <w:t>Up to legal</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Duplex print: </w:t>
            </w:r>
            <w:r w:rsidRPr="006958A1">
              <w:rPr>
                <w:i/>
                <w:szCs w:val="24"/>
              </w:rPr>
              <w:t>Yes</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Print memory: </w:t>
            </w:r>
            <w:r w:rsidRPr="006958A1">
              <w:rPr>
                <w:i/>
                <w:szCs w:val="24"/>
              </w:rPr>
              <w:t>512MB</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Mobile print: </w:t>
            </w:r>
            <w:r w:rsidRPr="006958A1">
              <w:rPr>
                <w:i/>
                <w:szCs w:val="24"/>
              </w:rPr>
              <w:t>Yes</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szCs w:val="24"/>
              </w:rPr>
            </w:pPr>
            <w:r w:rsidRPr="006958A1">
              <w:rPr>
                <w:szCs w:val="24"/>
              </w:rPr>
              <w:t xml:space="preserve">Standard interfaces: </w:t>
            </w:r>
            <w:r w:rsidRPr="006958A1">
              <w:rPr>
                <w:i/>
                <w:szCs w:val="24"/>
              </w:rPr>
              <w:t>USB2.0 device high speed; shared 10/100/1000 Base-T Ethernet; IEEE 802.11b/g/n wireless</w:t>
            </w:r>
          </w:p>
          <w:p w:rsidR="006958A1" w:rsidRPr="006958A1" w:rsidRDefault="006958A1" w:rsidP="006958A1">
            <w:pPr>
              <w:numPr>
                <w:ilvl w:val="1"/>
                <w:numId w:val="2"/>
              </w:numPr>
              <w:overflowPunct/>
              <w:autoSpaceDE/>
              <w:autoSpaceDN/>
              <w:adjustRightInd/>
              <w:spacing w:after="160" w:line="240" w:lineRule="auto"/>
              <w:ind w:left="426"/>
              <w:contextualSpacing/>
              <w:textAlignment w:val="auto"/>
              <w:rPr>
                <w:rFonts w:ascii="Century Schoolbook" w:hAnsi="Century Schoolbook"/>
                <w:szCs w:val="24"/>
              </w:rPr>
            </w:pPr>
            <w:r w:rsidRPr="006958A1">
              <w:rPr>
                <w:szCs w:val="24"/>
              </w:rPr>
              <w:t xml:space="preserve">Minimum OS compatibility: </w:t>
            </w:r>
            <w:r w:rsidRPr="006958A1">
              <w:rPr>
                <w:i/>
                <w:szCs w:val="24"/>
              </w:rPr>
              <w:t>Windows XP &amp; MAC OS X 10</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szCs w:val="24"/>
              </w:rPr>
            </w:pPr>
            <w:r w:rsidRPr="006958A1">
              <w:rPr>
                <w:szCs w:val="24"/>
              </w:rPr>
              <w:t xml:space="preserve">The </w:t>
            </w:r>
            <w:r w:rsidRPr="006958A1">
              <w:rPr>
                <w:b/>
                <w:szCs w:val="24"/>
              </w:rPr>
              <w:t>Provider</w:t>
            </w:r>
            <w:r w:rsidRPr="006958A1">
              <w:rPr>
                <w:szCs w:val="24"/>
              </w:rPr>
              <w:t xml:space="preserve"> shall provide </w:t>
            </w:r>
            <w:r w:rsidRPr="006958A1">
              <w:rPr>
                <w:b/>
                <w:szCs w:val="24"/>
              </w:rPr>
              <w:t xml:space="preserve">four (4) free of charge brand new network ready color printer </w:t>
            </w:r>
            <w:r w:rsidRPr="006958A1">
              <w:rPr>
                <w:szCs w:val="24"/>
              </w:rPr>
              <w:t>with the following specifications:</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szCs w:val="24"/>
              </w:rPr>
            </w:pPr>
            <w:r w:rsidRPr="006958A1">
              <w:rPr>
                <w:szCs w:val="24"/>
              </w:rPr>
              <w:t xml:space="preserve">Print speed: </w:t>
            </w:r>
            <w:r w:rsidRPr="006958A1">
              <w:rPr>
                <w:i/>
                <w:szCs w:val="24"/>
              </w:rPr>
              <w:t>Up to 28 ppm</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i/>
                <w:szCs w:val="24"/>
              </w:rPr>
            </w:pPr>
            <w:r w:rsidRPr="006958A1">
              <w:rPr>
                <w:szCs w:val="24"/>
              </w:rPr>
              <w:t xml:space="preserve">Page out (ready): </w:t>
            </w:r>
            <w:r w:rsidRPr="006958A1">
              <w:rPr>
                <w:i/>
                <w:szCs w:val="24"/>
              </w:rPr>
              <w:t>Black- as fast as 8.9 sec, Color- as fast as 9.5 sec</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i/>
                <w:szCs w:val="24"/>
              </w:rPr>
            </w:pPr>
            <w:r w:rsidRPr="006958A1">
              <w:rPr>
                <w:szCs w:val="24"/>
              </w:rPr>
              <w:t xml:space="preserve">Print quality color (best): </w:t>
            </w:r>
            <w:r w:rsidRPr="006958A1">
              <w:rPr>
                <w:i/>
                <w:szCs w:val="24"/>
              </w:rPr>
              <w:t xml:space="preserve">600x600 dpi, </w:t>
            </w:r>
            <w:proofErr w:type="gramStart"/>
            <w:r w:rsidRPr="006958A1">
              <w:rPr>
                <w:i/>
                <w:szCs w:val="24"/>
              </w:rPr>
              <w:t>Up</w:t>
            </w:r>
            <w:proofErr w:type="gramEnd"/>
            <w:r w:rsidRPr="006958A1">
              <w:rPr>
                <w:i/>
                <w:szCs w:val="24"/>
              </w:rPr>
              <w:t xml:space="preserve"> to 38,400x600 enhanced dpi</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i/>
                <w:szCs w:val="24"/>
              </w:rPr>
            </w:pPr>
            <w:r w:rsidRPr="006958A1">
              <w:rPr>
                <w:szCs w:val="24"/>
              </w:rPr>
              <w:t xml:space="preserve">Resolution technology: </w:t>
            </w:r>
            <w:proofErr w:type="spellStart"/>
            <w:r w:rsidRPr="006958A1">
              <w:rPr>
                <w:i/>
                <w:szCs w:val="24"/>
              </w:rPr>
              <w:t>ImageREt</w:t>
            </w:r>
            <w:proofErr w:type="spellEnd"/>
            <w:r w:rsidRPr="006958A1">
              <w:rPr>
                <w:i/>
                <w:szCs w:val="24"/>
              </w:rPr>
              <w:t xml:space="preserve"> 3600, PANTONE calibrated</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szCs w:val="24"/>
              </w:rPr>
            </w:pPr>
            <w:r w:rsidRPr="006958A1">
              <w:rPr>
                <w:szCs w:val="24"/>
              </w:rPr>
              <w:t xml:space="preserve">Duty cycle (monthly, A4): </w:t>
            </w:r>
            <w:r w:rsidRPr="006958A1">
              <w:rPr>
                <w:i/>
                <w:szCs w:val="24"/>
              </w:rPr>
              <w:t>Up to 50,000 pages</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szCs w:val="24"/>
              </w:rPr>
            </w:pPr>
            <w:r w:rsidRPr="006958A1">
              <w:rPr>
                <w:szCs w:val="24"/>
              </w:rPr>
              <w:t xml:space="preserve">Processor speed: </w:t>
            </w:r>
            <w:r w:rsidRPr="006958A1">
              <w:rPr>
                <w:i/>
                <w:szCs w:val="24"/>
              </w:rPr>
              <w:t>1200 MHz</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szCs w:val="24"/>
              </w:rPr>
            </w:pPr>
            <w:r w:rsidRPr="006958A1">
              <w:rPr>
                <w:szCs w:val="24"/>
              </w:rPr>
              <w:t xml:space="preserve">Print languages: </w:t>
            </w:r>
            <w:r w:rsidRPr="006958A1">
              <w:rPr>
                <w:i/>
                <w:szCs w:val="24"/>
              </w:rPr>
              <w:t xml:space="preserve">PCL6, PCL 5c, Postscript level 3 emulation, PDF, URF, </w:t>
            </w:r>
            <w:proofErr w:type="spellStart"/>
            <w:r w:rsidRPr="006958A1">
              <w:rPr>
                <w:i/>
                <w:szCs w:val="24"/>
              </w:rPr>
              <w:t>PCLm</w:t>
            </w:r>
            <w:proofErr w:type="spellEnd"/>
            <w:r w:rsidRPr="006958A1">
              <w:rPr>
                <w:i/>
                <w:szCs w:val="24"/>
              </w:rPr>
              <w:t xml:space="preserve">, Native Office, </w:t>
            </w:r>
            <w:proofErr w:type="spellStart"/>
            <w:r w:rsidRPr="006958A1">
              <w:rPr>
                <w:i/>
                <w:szCs w:val="24"/>
              </w:rPr>
              <w:t>PWGRaster</w:t>
            </w:r>
            <w:proofErr w:type="spellEnd"/>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szCs w:val="24"/>
              </w:rPr>
            </w:pPr>
            <w:r w:rsidRPr="006958A1">
              <w:rPr>
                <w:szCs w:val="24"/>
              </w:rPr>
              <w:t xml:space="preserve">Display: </w:t>
            </w:r>
            <w:r w:rsidRPr="006958A1">
              <w:rPr>
                <w:i/>
                <w:szCs w:val="24"/>
              </w:rPr>
              <w:t>2-line backlit LCD graphic display</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szCs w:val="24"/>
              </w:rPr>
            </w:pPr>
            <w:r w:rsidRPr="006958A1">
              <w:rPr>
                <w:szCs w:val="24"/>
              </w:rPr>
              <w:t xml:space="preserve">Mobile printing capability: </w:t>
            </w:r>
            <w:proofErr w:type="spellStart"/>
            <w:r w:rsidRPr="006958A1">
              <w:rPr>
                <w:i/>
                <w:szCs w:val="24"/>
              </w:rPr>
              <w:t>ePrint</w:t>
            </w:r>
            <w:proofErr w:type="spellEnd"/>
            <w:r w:rsidRPr="006958A1">
              <w:rPr>
                <w:i/>
                <w:szCs w:val="24"/>
              </w:rPr>
              <w:t xml:space="preserve"> </w:t>
            </w:r>
            <w:proofErr w:type="spellStart"/>
            <w:r w:rsidRPr="006958A1">
              <w:rPr>
                <w:i/>
                <w:szCs w:val="24"/>
              </w:rPr>
              <w:t>AirPrint</w:t>
            </w:r>
            <w:proofErr w:type="spellEnd"/>
            <w:r w:rsidRPr="006958A1">
              <w:rPr>
                <w:i/>
                <w:szCs w:val="24"/>
              </w:rPr>
              <w:t xml:space="preserve"> </w:t>
            </w:r>
            <w:proofErr w:type="spellStart"/>
            <w:r w:rsidRPr="006958A1">
              <w:rPr>
                <w:i/>
                <w:szCs w:val="24"/>
              </w:rPr>
              <w:t>Mopria</w:t>
            </w:r>
            <w:proofErr w:type="spellEnd"/>
            <w:r w:rsidRPr="006958A1">
              <w:rPr>
                <w:i/>
                <w:szCs w:val="24"/>
              </w:rPr>
              <w:t>-certified Cloud Print 2.0 Mobile Apps</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szCs w:val="24"/>
              </w:rPr>
            </w:pPr>
            <w:r w:rsidRPr="006958A1">
              <w:rPr>
                <w:szCs w:val="24"/>
              </w:rPr>
              <w:t xml:space="preserve">Connectivity: Standard </w:t>
            </w:r>
            <w:r w:rsidRPr="006958A1">
              <w:rPr>
                <w:i/>
                <w:szCs w:val="24"/>
              </w:rPr>
              <w:t>Hi-Speed USB 2.0 port, built-in Gigabit Ethernet 10/100/1000 Base-TX network port</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szCs w:val="24"/>
              </w:rPr>
            </w:pPr>
            <w:r w:rsidRPr="006958A1">
              <w:rPr>
                <w:szCs w:val="24"/>
              </w:rPr>
              <w:t xml:space="preserve">Minimum system requirements: </w:t>
            </w:r>
            <w:r w:rsidRPr="006958A1">
              <w:rPr>
                <w:i/>
                <w:szCs w:val="24"/>
              </w:rPr>
              <w:t>Windows XP (SP2) (32-bit) or newer, 233 MHz processor or higher, Mac OS X v 10.7 or newer</w:t>
            </w:r>
          </w:p>
          <w:p w:rsidR="006958A1" w:rsidRPr="006958A1" w:rsidRDefault="006958A1" w:rsidP="006958A1">
            <w:pPr>
              <w:numPr>
                <w:ilvl w:val="1"/>
                <w:numId w:val="3"/>
              </w:numPr>
              <w:overflowPunct/>
              <w:autoSpaceDE/>
              <w:autoSpaceDN/>
              <w:adjustRightInd/>
              <w:spacing w:after="160" w:line="240" w:lineRule="auto"/>
              <w:ind w:left="426"/>
              <w:contextualSpacing/>
              <w:textAlignment w:val="auto"/>
              <w:rPr>
                <w:rFonts w:ascii="Century Schoolbook" w:hAnsi="Century Schoolbook"/>
                <w:szCs w:val="24"/>
              </w:rPr>
            </w:pPr>
            <w:r w:rsidRPr="006958A1">
              <w:rPr>
                <w:szCs w:val="24"/>
              </w:rPr>
              <w:t xml:space="preserve">Memory: </w:t>
            </w:r>
            <w:r w:rsidRPr="006958A1">
              <w:rPr>
                <w:i/>
                <w:szCs w:val="24"/>
              </w:rPr>
              <w:t>standard 256 MB NAND Flash, 128 MB DRAM</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szCs w:val="24"/>
              </w:rPr>
            </w:pPr>
            <w:r w:rsidRPr="006958A1">
              <w:rPr>
                <w:szCs w:val="24"/>
              </w:rPr>
              <w:t xml:space="preserve">The </w:t>
            </w:r>
            <w:r w:rsidRPr="006958A1">
              <w:rPr>
                <w:b/>
                <w:szCs w:val="24"/>
              </w:rPr>
              <w:t>Provider</w:t>
            </w:r>
            <w:r w:rsidRPr="006958A1">
              <w:rPr>
                <w:szCs w:val="24"/>
              </w:rPr>
              <w:t xml:space="preserve"> shall provide </w:t>
            </w:r>
            <w:r w:rsidRPr="006958A1">
              <w:rPr>
                <w:b/>
                <w:szCs w:val="24"/>
              </w:rPr>
              <w:t xml:space="preserve">one (1) free of charge brand new network ready A3 color printer </w:t>
            </w:r>
            <w:r w:rsidRPr="006958A1">
              <w:rPr>
                <w:szCs w:val="24"/>
              </w:rPr>
              <w:t>with the following specifications:</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szCs w:val="24"/>
              </w:rPr>
            </w:pPr>
            <w:r w:rsidRPr="006958A1">
              <w:rPr>
                <w:szCs w:val="24"/>
              </w:rPr>
              <w:t xml:space="preserve">Print speed (letter): </w:t>
            </w:r>
            <w:r w:rsidRPr="006958A1">
              <w:rPr>
                <w:i/>
                <w:szCs w:val="24"/>
              </w:rPr>
              <w:t>Up to 30ppm (black); Up to 30 ppm (color)</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szCs w:val="24"/>
              </w:rPr>
            </w:pPr>
            <w:r w:rsidRPr="006958A1">
              <w:rPr>
                <w:szCs w:val="24"/>
              </w:rPr>
              <w:t xml:space="preserve">Print technology: </w:t>
            </w:r>
            <w:r w:rsidRPr="006958A1">
              <w:rPr>
                <w:i/>
                <w:szCs w:val="24"/>
              </w:rPr>
              <w:t>Laser</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szCs w:val="24"/>
              </w:rPr>
            </w:pPr>
            <w:r w:rsidRPr="006958A1">
              <w:rPr>
                <w:szCs w:val="24"/>
              </w:rPr>
              <w:t xml:space="preserve">Print resolution: </w:t>
            </w:r>
            <w:r w:rsidRPr="006958A1">
              <w:rPr>
                <w:i/>
                <w:szCs w:val="24"/>
              </w:rPr>
              <w:t>Black (best): Up to 600x600 dpi; Color (best): Up to 600x600 dpi</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szCs w:val="24"/>
              </w:rPr>
            </w:pPr>
            <w:r w:rsidRPr="006958A1">
              <w:rPr>
                <w:szCs w:val="24"/>
              </w:rPr>
              <w:t xml:space="preserve">Processor speed: </w:t>
            </w:r>
            <w:r w:rsidRPr="006958A1">
              <w:rPr>
                <w:i/>
                <w:szCs w:val="24"/>
              </w:rPr>
              <w:t>800 MHz</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i/>
                <w:szCs w:val="24"/>
              </w:rPr>
            </w:pPr>
            <w:r w:rsidRPr="006958A1">
              <w:rPr>
                <w:szCs w:val="24"/>
              </w:rPr>
              <w:t xml:space="preserve">Memory: </w:t>
            </w:r>
            <w:r w:rsidRPr="006958A1">
              <w:rPr>
                <w:i/>
                <w:szCs w:val="24"/>
              </w:rPr>
              <w:t>1GB</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i/>
                <w:szCs w:val="24"/>
              </w:rPr>
            </w:pPr>
            <w:r w:rsidRPr="006958A1">
              <w:rPr>
                <w:szCs w:val="24"/>
              </w:rPr>
              <w:t xml:space="preserve">Standard connectivity: </w:t>
            </w:r>
            <w:r w:rsidRPr="006958A1">
              <w:rPr>
                <w:i/>
                <w:szCs w:val="24"/>
              </w:rPr>
              <w:t>2 Hi-Speed USB Host; 1 Hi-Speed USB 2.0 Device; Gigabit Ethernet 10/100/1000T network; 2 Internal USB Host</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szCs w:val="24"/>
              </w:rPr>
            </w:pPr>
            <w:r w:rsidRPr="006958A1">
              <w:rPr>
                <w:szCs w:val="24"/>
              </w:rPr>
              <w:t xml:space="preserve">Duty cycle: </w:t>
            </w:r>
            <w:r w:rsidRPr="006958A1">
              <w:rPr>
                <w:i/>
                <w:szCs w:val="24"/>
              </w:rPr>
              <w:t>Up to 120,000 pages</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szCs w:val="24"/>
              </w:rPr>
            </w:pPr>
            <w:r w:rsidRPr="006958A1">
              <w:rPr>
                <w:szCs w:val="24"/>
              </w:rPr>
              <w:t xml:space="preserve">Duplex print: </w:t>
            </w:r>
            <w:r w:rsidRPr="006958A1">
              <w:rPr>
                <w:i/>
                <w:szCs w:val="24"/>
              </w:rPr>
              <w:t>Yes</w:t>
            </w:r>
          </w:p>
          <w:p w:rsidR="006958A1" w:rsidRPr="006958A1" w:rsidRDefault="006958A1" w:rsidP="006958A1">
            <w:pPr>
              <w:numPr>
                <w:ilvl w:val="1"/>
                <w:numId w:val="4"/>
              </w:numPr>
              <w:overflowPunct/>
              <w:autoSpaceDE/>
              <w:autoSpaceDN/>
              <w:adjustRightInd/>
              <w:spacing w:after="160" w:line="240" w:lineRule="auto"/>
              <w:ind w:left="426"/>
              <w:contextualSpacing/>
              <w:textAlignment w:val="auto"/>
              <w:rPr>
                <w:rFonts w:ascii="Century Schoolbook" w:hAnsi="Century Schoolbook"/>
                <w:szCs w:val="24"/>
              </w:rPr>
            </w:pPr>
            <w:r w:rsidRPr="006958A1">
              <w:rPr>
                <w:szCs w:val="24"/>
              </w:rPr>
              <w:t xml:space="preserve">Mobile printing capability: </w:t>
            </w:r>
            <w:proofErr w:type="spellStart"/>
            <w:r w:rsidRPr="006958A1">
              <w:rPr>
                <w:i/>
                <w:szCs w:val="24"/>
              </w:rPr>
              <w:t>ePrint</w:t>
            </w:r>
            <w:proofErr w:type="spellEnd"/>
            <w:r w:rsidRPr="006958A1">
              <w:rPr>
                <w:i/>
                <w:szCs w:val="24"/>
              </w:rPr>
              <w:t xml:space="preserve">, </w:t>
            </w:r>
            <w:proofErr w:type="spellStart"/>
            <w:r w:rsidRPr="006958A1">
              <w:rPr>
                <w:i/>
                <w:szCs w:val="24"/>
              </w:rPr>
              <w:t>AirPrint</w:t>
            </w:r>
            <w:proofErr w:type="spellEnd"/>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szCs w:val="24"/>
              </w:rPr>
            </w:pPr>
            <w:r w:rsidRPr="006958A1">
              <w:rPr>
                <w:szCs w:val="24"/>
              </w:rPr>
              <w:t xml:space="preserve">The </w:t>
            </w:r>
            <w:r w:rsidRPr="006958A1">
              <w:rPr>
                <w:b/>
                <w:szCs w:val="24"/>
              </w:rPr>
              <w:t>Provider</w:t>
            </w:r>
            <w:r w:rsidRPr="006958A1">
              <w:rPr>
                <w:szCs w:val="24"/>
              </w:rPr>
              <w:t xml:space="preserve"> shall also deliver the following services;</w:t>
            </w:r>
          </w:p>
          <w:p w:rsidR="006958A1" w:rsidRPr="006958A1" w:rsidRDefault="006958A1" w:rsidP="006958A1">
            <w:pPr>
              <w:numPr>
                <w:ilvl w:val="0"/>
                <w:numId w:val="5"/>
              </w:numPr>
              <w:overflowPunct/>
              <w:autoSpaceDE/>
              <w:autoSpaceDN/>
              <w:adjustRightInd/>
              <w:spacing w:after="160" w:line="240" w:lineRule="auto"/>
              <w:ind w:left="426"/>
              <w:contextualSpacing/>
              <w:textAlignment w:val="auto"/>
              <w:rPr>
                <w:szCs w:val="24"/>
              </w:rPr>
            </w:pPr>
            <w:r w:rsidRPr="006958A1">
              <w:rPr>
                <w:szCs w:val="24"/>
              </w:rPr>
              <w:t>Printer consumables and replacements parts free of charge (except breakable plastic parts and user fault).</w:t>
            </w:r>
          </w:p>
          <w:p w:rsidR="006958A1" w:rsidRPr="006958A1" w:rsidRDefault="006958A1" w:rsidP="006958A1">
            <w:pPr>
              <w:numPr>
                <w:ilvl w:val="0"/>
                <w:numId w:val="5"/>
              </w:numPr>
              <w:overflowPunct/>
              <w:autoSpaceDE/>
              <w:autoSpaceDN/>
              <w:adjustRightInd/>
              <w:spacing w:after="160" w:line="240" w:lineRule="auto"/>
              <w:ind w:left="426"/>
              <w:contextualSpacing/>
              <w:textAlignment w:val="auto"/>
              <w:rPr>
                <w:szCs w:val="24"/>
              </w:rPr>
            </w:pPr>
            <w:r w:rsidRPr="006958A1">
              <w:rPr>
                <w:szCs w:val="24"/>
              </w:rPr>
              <w:t>Free on-site maintenance and technical support.</w:t>
            </w:r>
          </w:p>
          <w:p w:rsidR="006958A1" w:rsidRPr="006958A1" w:rsidRDefault="006958A1" w:rsidP="006958A1">
            <w:pPr>
              <w:numPr>
                <w:ilvl w:val="0"/>
                <w:numId w:val="5"/>
              </w:numPr>
              <w:ind w:left="426"/>
              <w:rPr>
                <w:bCs/>
                <w:szCs w:val="24"/>
              </w:rPr>
            </w:pPr>
            <w:r w:rsidRPr="006958A1">
              <w:rPr>
                <w:szCs w:val="24"/>
              </w:rPr>
              <w:t>No security deposit required.</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szCs w:val="24"/>
              </w:rPr>
            </w:pPr>
            <w:r w:rsidRPr="006958A1">
              <w:rPr>
                <w:szCs w:val="24"/>
              </w:rPr>
              <w:t xml:space="preserve">The </w:t>
            </w:r>
            <w:r w:rsidRPr="006958A1">
              <w:rPr>
                <w:b/>
                <w:szCs w:val="24"/>
              </w:rPr>
              <w:t>Provider</w:t>
            </w:r>
            <w:r w:rsidRPr="006958A1">
              <w:rPr>
                <w:szCs w:val="24"/>
              </w:rPr>
              <w:t>, during the duration of the contract, shall provide the following:</w:t>
            </w:r>
          </w:p>
          <w:p w:rsidR="006958A1" w:rsidRPr="006958A1" w:rsidRDefault="006958A1" w:rsidP="006958A1">
            <w:pPr>
              <w:numPr>
                <w:ilvl w:val="0"/>
                <w:numId w:val="6"/>
              </w:numPr>
              <w:overflowPunct/>
              <w:autoSpaceDE/>
              <w:autoSpaceDN/>
              <w:adjustRightInd/>
              <w:spacing w:after="160" w:line="240" w:lineRule="auto"/>
              <w:ind w:left="426"/>
              <w:contextualSpacing/>
              <w:textAlignment w:val="auto"/>
              <w:rPr>
                <w:szCs w:val="24"/>
              </w:rPr>
            </w:pPr>
            <w:r w:rsidRPr="006958A1">
              <w:rPr>
                <w:szCs w:val="24"/>
              </w:rPr>
              <w:t xml:space="preserve">Response time within twenty-four (24) hours from receipt of request thru telephone, fax or email from the authorized personnel of the Case Management Service, Office of the Solicitor General </w:t>
            </w:r>
          </w:p>
          <w:p w:rsidR="006958A1" w:rsidRPr="006958A1" w:rsidRDefault="006958A1" w:rsidP="006958A1">
            <w:pPr>
              <w:numPr>
                <w:ilvl w:val="0"/>
                <w:numId w:val="6"/>
              </w:numPr>
              <w:overflowPunct/>
              <w:autoSpaceDE/>
              <w:autoSpaceDN/>
              <w:adjustRightInd/>
              <w:spacing w:after="160" w:line="240" w:lineRule="auto"/>
              <w:ind w:left="426"/>
              <w:contextualSpacing/>
              <w:textAlignment w:val="auto"/>
              <w:rPr>
                <w:szCs w:val="24"/>
              </w:rPr>
            </w:pPr>
            <w:r w:rsidRPr="006958A1">
              <w:rPr>
                <w:szCs w:val="24"/>
              </w:rPr>
              <w:t>Quarterly preventive maintenance</w:t>
            </w:r>
          </w:p>
          <w:p w:rsidR="006958A1" w:rsidRPr="006958A1" w:rsidRDefault="006958A1" w:rsidP="006958A1">
            <w:pPr>
              <w:numPr>
                <w:ilvl w:val="0"/>
                <w:numId w:val="6"/>
              </w:numPr>
              <w:overflowPunct/>
              <w:autoSpaceDE/>
              <w:autoSpaceDN/>
              <w:adjustRightInd/>
              <w:spacing w:after="160" w:line="240" w:lineRule="auto"/>
              <w:ind w:left="426"/>
              <w:contextualSpacing/>
              <w:textAlignment w:val="auto"/>
              <w:rPr>
                <w:szCs w:val="24"/>
              </w:rPr>
            </w:pPr>
            <w:r w:rsidRPr="006958A1">
              <w:rPr>
                <w:szCs w:val="24"/>
              </w:rPr>
              <w:t>Installation of printer, if necessary</w:t>
            </w:r>
          </w:p>
          <w:p w:rsidR="006958A1" w:rsidRPr="006958A1" w:rsidRDefault="006958A1" w:rsidP="006958A1">
            <w:pPr>
              <w:numPr>
                <w:ilvl w:val="0"/>
                <w:numId w:val="6"/>
              </w:numPr>
              <w:overflowPunct/>
              <w:autoSpaceDE/>
              <w:autoSpaceDN/>
              <w:adjustRightInd/>
              <w:spacing w:after="160" w:line="240" w:lineRule="auto"/>
              <w:ind w:left="426"/>
              <w:contextualSpacing/>
              <w:textAlignment w:val="auto"/>
              <w:rPr>
                <w:szCs w:val="24"/>
              </w:rPr>
            </w:pPr>
            <w:r w:rsidRPr="006958A1">
              <w:rPr>
                <w:szCs w:val="24"/>
              </w:rPr>
              <w:t>Repair or replacement of spare parts due to inherent defects and/or caused by normal wear and tear of printer</w:t>
            </w:r>
          </w:p>
          <w:p w:rsidR="006958A1" w:rsidRPr="006958A1" w:rsidRDefault="006958A1" w:rsidP="006958A1">
            <w:pPr>
              <w:numPr>
                <w:ilvl w:val="0"/>
                <w:numId w:val="6"/>
              </w:numPr>
              <w:ind w:left="426"/>
              <w:rPr>
                <w:bCs/>
                <w:szCs w:val="24"/>
              </w:rPr>
            </w:pPr>
            <w:r w:rsidRPr="006958A1">
              <w:rPr>
                <w:szCs w:val="24"/>
              </w:rPr>
              <w:t>Free technical support for all printers including holding of the OSG.</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bCs/>
                <w:szCs w:val="24"/>
              </w:rPr>
            </w:pPr>
            <w:r w:rsidRPr="006958A1">
              <w:rPr>
                <w:szCs w:val="24"/>
              </w:rPr>
              <w:t>In case that printer would need repair and/or replacement due to ordinary wear and tear and/or inherent factory defects, the Provider shall replace the printer with a new one or in equally good working condition within twenty-four (24) hours from receipt of request thru telephone, fax or email from the authorized personnel of the Case Management Service, OSG at no cost.</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bCs/>
                <w:szCs w:val="24"/>
              </w:rPr>
            </w:pPr>
            <w:r w:rsidRPr="006958A1">
              <w:rPr>
                <w:szCs w:val="24"/>
              </w:rPr>
              <w:t>The contract for printing service shall valid for a period of two (2) year. The OSG however, may terminate the contract by serving upon the Provider thirty (30) day advanced written notice in case of the terms/conditions of the General Conditions of the Contract/Special Conditions of the Contract.</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bCs/>
                <w:szCs w:val="24"/>
              </w:rPr>
            </w:pPr>
            <w:r w:rsidRPr="006958A1">
              <w:rPr>
                <w:szCs w:val="24"/>
              </w:rPr>
              <w:t>The number of printers stated in this Terms of Reference are just the initial deployment and maybe increased or decreased depending on the needs of the OSG.</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p>
        </w:tc>
        <w:tc>
          <w:tcPr>
            <w:tcW w:w="7020" w:type="dxa"/>
            <w:shd w:val="clear" w:color="auto" w:fill="FFFFFF"/>
          </w:tcPr>
          <w:p w:rsidR="006958A1" w:rsidRPr="006958A1" w:rsidRDefault="006958A1" w:rsidP="006958A1">
            <w:pPr>
              <w:rPr>
                <w:bCs/>
                <w:szCs w:val="24"/>
              </w:rPr>
            </w:pPr>
          </w:p>
        </w:tc>
        <w:tc>
          <w:tcPr>
            <w:tcW w:w="1530" w:type="dxa"/>
            <w:shd w:val="clear" w:color="auto" w:fill="FFFFFF"/>
          </w:tcPr>
          <w:p w:rsidR="006958A1" w:rsidRPr="006958A1" w:rsidRDefault="006958A1" w:rsidP="006958A1"/>
        </w:tc>
      </w:tr>
    </w:tbl>
    <w:p w:rsidR="006958A1" w:rsidRPr="006958A1" w:rsidRDefault="006958A1" w:rsidP="006958A1">
      <w:pPr>
        <w:ind w:left="180"/>
        <w:jc w:val="center"/>
        <w:rPr>
          <w:rFonts w:ascii="Book Antiqua" w:hAnsi="Book Antiqua" w:cs="Calibri"/>
          <w:b/>
          <w:sz w:val="6"/>
          <w:szCs w:val="6"/>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020"/>
        <w:gridCol w:w="1530"/>
      </w:tblGrid>
      <w:tr w:rsidR="006958A1" w:rsidRPr="006958A1" w:rsidTr="00095DD5">
        <w:trPr>
          <w:trHeight w:val="440"/>
        </w:trPr>
        <w:tc>
          <w:tcPr>
            <w:tcW w:w="9360" w:type="dxa"/>
            <w:gridSpan w:val="3"/>
            <w:shd w:val="clear" w:color="auto" w:fill="FFFFFF"/>
            <w:vAlign w:val="center"/>
          </w:tcPr>
          <w:p w:rsidR="006958A1" w:rsidRPr="006958A1" w:rsidRDefault="006958A1" w:rsidP="006958A1">
            <w:pPr>
              <w:jc w:val="center"/>
              <w:rPr>
                <w:b/>
                <w:bCs/>
                <w:color w:val="000000"/>
                <w:sz w:val="28"/>
                <w:szCs w:val="28"/>
              </w:rPr>
            </w:pPr>
            <w:r w:rsidRPr="006958A1">
              <w:rPr>
                <w:b/>
                <w:sz w:val="28"/>
                <w:szCs w:val="28"/>
              </w:rPr>
              <w:t>II. Warranties of the Provider</w:t>
            </w:r>
          </w:p>
        </w:tc>
      </w:tr>
      <w:tr w:rsidR="006958A1" w:rsidRPr="006958A1" w:rsidTr="00095DD5">
        <w:trPr>
          <w:trHeight w:val="440"/>
        </w:trPr>
        <w:tc>
          <w:tcPr>
            <w:tcW w:w="810" w:type="dxa"/>
            <w:shd w:val="clear" w:color="auto" w:fill="FFFFFF"/>
            <w:vAlign w:val="center"/>
          </w:tcPr>
          <w:p w:rsidR="006958A1" w:rsidRPr="006958A1" w:rsidRDefault="006958A1" w:rsidP="006958A1">
            <w:pPr>
              <w:jc w:val="center"/>
              <w:rPr>
                <w:rFonts w:cs="Arial"/>
                <w:b/>
                <w:bCs/>
                <w:color w:val="000000"/>
              </w:rPr>
            </w:pPr>
            <w:r w:rsidRPr="006958A1">
              <w:rPr>
                <w:rFonts w:cs="Arial"/>
                <w:b/>
                <w:bCs/>
                <w:color w:val="000000"/>
              </w:rPr>
              <w:t>Item</w:t>
            </w:r>
          </w:p>
        </w:tc>
        <w:tc>
          <w:tcPr>
            <w:tcW w:w="7020" w:type="dxa"/>
            <w:shd w:val="clear" w:color="auto" w:fill="FFFFFF"/>
            <w:vAlign w:val="center"/>
          </w:tcPr>
          <w:p w:rsidR="006958A1" w:rsidRPr="006958A1" w:rsidRDefault="006958A1" w:rsidP="006958A1">
            <w:pPr>
              <w:jc w:val="center"/>
              <w:rPr>
                <w:rFonts w:cs="Arial"/>
                <w:b/>
                <w:bCs/>
                <w:color w:val="000000"/>
              </w:rPr>
            </w:pPr>
            <w:r w:rsidRPr="006958A1">
              <w:rPr>
                <w:rFonts w:cs="Arial"/>
                <w:b/>
                <w:bCs/>
                <w:color w:val="000000"/>
              </w:rPr>
              <w:t>Specification / Particular</w:t>
            </w:r>
          </w:p>
        </w:tc>
        <w:tc>
          <w:tcPr>
            <w:tcW w:w="1530" w:type="dxa"/>
            <w:shd w:val="clear" w:color="auto" w:fill="FFFFFF"/>
          </w:tcPr>
          <w:p w:rsidR="006958A1" w:rsidRPr="006958A1" w:rsidRDefault="006958A1" w:rsidP="006958A1">
            <w:pPr>
              <w:jc w:val="center"/>
              <w:rPr>
                <w:rFonts w:cs="Arial"/>
                <w:b/>
                <w:bCs/>
                <w:color w:val="000000"/>
              </w:rPr>
            </w:pPr>
            <w:r w:rsidRPr="006958A1">
              <w:rPr>
                <w:rFonts w:cs="Arial"/>
                <w:b/>
                <w:bCs/>
                <w:color w:val="000000"/>
              </w:rPr>
              <w:t>Statement of Compliance</w:t>
            </w:r>
          </w:p>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1.</w:t>
            </w:r>
          </w:p>
        </w:tc>
        <w:tc>
          <w:tcPr>
            <w:tcW w:w="7020" w:type="dxa"/>
            <w:shd w:val="clear" w:color="auto" w:fill="FFFFFF"/>
          </w:tcPr>
          <w:p w:rsidR="006958A1" w:rsidRPr="006958A1" w:rsidRDefault="006958A1" w:rsidP="006958A1">
            <w:pPr>
              <w:overflowPunct/>
              <w:autoSpaceDE/>
              <w:autoSpaceDN/>
              <w:adjustRightInd/>
              <w:spacing w:after="160" w:line="240" w:lineRule="auto"/>
              <w:contextualSpacing/>
              <w:textAlignment w:val="auto"/>
              <w:rPr>
                <w:szCs w:val="24"/>
              </w:rPr>
            </w:pPr>
            <w:r w:rsidRPr="006958A1">
              <w:rPr>
                <w:szCs w:val="24"/>
              </w:rPr>
              <w:t xml:space="preserve">The </w:t>
            </w:r>
            <w:r w:rsidRPr="006958A1">
              <w:rPr>
                <w:b/>
                <w:szCs w:val="24"/>
              </w:rPr>
              <w:t>PROVIDER</w:t>
            </w:r>
            <w:r w:rsidRPr="006958A1">
              <w:rPr>
                <w:szCs w:val="24"/>
              </w:rPr>
              <w:t xml:space="preserve"> warrants that it shall conform strictly to the terms and conditions of this Terms of Reference.</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2.</w:t>
            </w:r>
          </w:p>
        </w:tc>
        <w:tc>
          <w:tcPr>
            <w:tcW w:w="7020" w:type="dxa"/>
            <w:shd w:val="clear" w:color="auto" w:fill="FFFFFF"/>
          </w:tcPr>
          <w:p w:rsidR="006958A1" w:rsidRPr="006958A1" w:rsidRDefault="006958A1" w:rsidP="006958A1">
            <w:pPr>
              <w:overflowPunct/>
              <w:autoSpaceDE/>
              <w:autoSpaceDN/>
              <w:adjustRightInd/>
              <w:spacing w:after="160" w:line="240" w:lineRule="auto"/>
              <w:contextualSpacing/>
              <w:textAlignment w:val="auto"/>
              <w:rPr>
                <w:szCs w:val="24"/>
              </w:rPr>
            </w:pPr>
            <w:r w:rsidRPr="006958A1">
              <w:rPr>
                <w:szCs w:val="24"/>
              </w:rPr>
              <w:t xml:space="preserve">The </w:t>
            </w:r>
            <w:r w:rsidRPr="006958A1">
              <w:rPr>
                <w:b/>
                <w:szCs w:val="24"/>
              </w:rPr>
              <w:t>PROVIDER</w:t>
            </w:r>
            <w:r w:rsidRPr="006958A1">
              <w:rPr>
                <w:szCs w:val="24"/>
              </w:rPr>
              <w:t xml:space="preserve"> warrants, represents and undertakes reliability of the services, products updates and that their manpower complements are hardworking, qualified/reliable and dedicated to do the service required to the satisfaction of the </w:t>
            </w:r>
            <w:r w:rsidRPr="006958A1">
              <w:rPr>
                <w:b/>
                <w:szCs w:val="24"/>
              </w:rPr>
              <w:t>OSG.</w:t>
            </w:r>
            <w:r w:rsidRPr="006958A1">
              <w:rPr>
                <w:szCs w:val="24"/>
              </w:rPr>
              <w:t xml:space="preserve"> It shall employ well-behaved and honest employees with ID displayed conspicuously while working within the </w:t>
            </w:r>
            <w:r w:rsidRPr="006958A1">
              <w:rPr>
                <w:b/>
                <w:szCs w:val="24"/>
              </w:rPr>
              <w:t>OSG</w:t>
            </w:r>
            <w:r w:rsidRPr="006958A1">
              <w:rPr>
                <w:szCs w:val="24"/>
              </w:rPr>
              <w:t xml:space="preserve"> compound. It shall not employ </w:t>
            </w:r>
            <w:r w:rsidRPr="006958A1">
              <w:rPr>
                <w:b/>
                <w:szCs w:val="24"/>
              </w:rPr>
              <w:t xml:space="preserve">OSG </w:t>
            </w:r>
            <w:r w:rsidRPr="006958A1">
              <w:rPr>
                <w:szCs w:val="24"/>
              </w:rPr>
              <w:t>employees to work in any category whatsoever.</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3.</w:t>
            </w:r>
          </w:p>
        </w:tc>
        <w:tc>
          <w:tcPr>
            <w:tcW w:w="7020" w:type="dxa"/>
            <w:shd w:val="clear" w:color="auto" w:fill="FFFFFF"/>
          </w:tcPr>
          <w:p w:rsidR="006958A1" w:rsidRPr="006958A1" w:rsidRDefault="006958A1" w:rsidP="006958A1">
            <w:pPr>
              <w:overflowPunct/>
              <w:autoSpaceDE/>
              <w:autoSpaceDN/>
              <w:adjustRightInd/>
              <w:spacing w:after="160" w:line="240" w:lineRule="auto"/>
              <w:contextualSpacing/>
              <w:textAlignment w:val="auto"/>
              <w:rPr>
                <w:szCs w:val="24"/>
              </w:rPr>
            </w:pPr>
            <w:r w:rsidRPr="006958A1">
              <w:rPr>
                <w:szCs w:val="24"/>
              </w:rPr>
              <w:t xml:space="preserve">The </w:t>
            </w:r>
            <w:r w:rsidRPr="006958A1">
              <w:rPr>
                <w:b/>
                <w:szCs w:val="24"/>
              </w:rPr>
              <w:t>PROVIDER</w:t>
            </w:r>
            <w:r w:rsidRPr="006958A1">
              <w:rPr>
                <w:szCs w:val="24"/>
              </w:rPr>
              <w:t xml:space="preserve"> shall comply with the laws governing employees’ compensation, </w:t>
            </w:r>
            <w:proofErr w:type="spellStart"/>
            <w:r w:rsidRPr="006958A1">
              <w:rPr>
                <w:szCs w:val="24"/>
              </w:rPr>
              <w:t>PhilHealth</w:t>
            </w:r>
            <w:proofErr w:type="spellEnd"/>
            <w:r w:rsidRPr="006958A1">
              <w:rPr>
                <w:szCs w:val="24"/>
              </w:rPr>
              <w:t xml:space="preserve">, Social Security and labor standards, and other laws, rules and regulation applicable to its personnel employed by the </w:t>
            </w:r>
            <w:r w:rsidRPr="006958A1">
              <w:rPr>
                <w:b/>
                <w:szCs w:val="24"/>
              </w:rPr>
              <w:t>PROVIDER</w:t>
            </w:r>
            <w:r w:rsidRPr="006958A1">
              <w:rPr>
                <w:szCs w:val="24"/>
              </w:rPr>
              <w:t xml:space="preserve"> on account of the contracted services. The </w:t>
            </w:r>
            <w:r w:rsidRPr="006958A1">
              <w:rPr>
                <w:b/>
                <w:szCs w:val="24"/>
              </w:rPr>
              <w:t>PROVIDER</w:t>
            </w:r>
            <w:r w:rsidRPr="006958A1">
              <w:rPr>
                <w:szCs w:val="24"/>
              </w:rPr>
              <w:t xml:space="preserve"> shall pay its personnel not less than the minimum wage and other benefits mandated by law.</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4.</w:t>
            </w:r>
          </w:p>
        </w:tc>
        <w:tc>
          <w:tcPr>
            <w:tcW w:w="7020" w:type="dxa"/>
            <w:shd w:val="clear" w:color="auto" w:fill="FFFFFF"/>
          </w:tcPr>
          <w:p w:rsidR="006958A1" w:rsidRPr="006958A1" w:rsidRDefault="006958A1" w:rsidP="006958A1">
            <w:pPr>
              <w:rPr>
                <w:bCs/>
                <w:szCs w:val="24"/>
              </w:rPr>
            </w:pPr>
            <w:r w:rsidRPr="006958A1">
              <w:rPr>
                <w:szCs w:val="24"/>
              </w:rPr>
              <w:t xml:space="preserve">The </w:t>
            </w:r>
            <w:r w:rsidRPr="006958A1">
              <w:rPr>
                <w:b/>
                <w:szCs w:val="24"/>
              </w:rPr>
              <w:t>PROVIDER</w:t>
            </w:r>
            <w:r w:rsidRPr="006958A1">
              <w:rPr>
                <w:szCs w:val="24"/>
              </w:rPr>
              <w:t xml:space="preserve"> in the performance in its services shall secure and maintain at its own expense all registration, licenses, or permits required by National or Local Laws and shall comply with the rules, regulation and directives of Regulatory Authorities and Commissions. The </w:t>
            </w:r>
            <w:r w:rsidRPr="006958A1">
              <w:rPr>
                <w:b/>
                <w:szCs w:val="24"/>
              </w:rPr>
              <w:t>PROVIDER</w:t>
            </w:r>
            <w:r w:rsidRPr="006958A1">
              <w:rPr>
                <w:szCs w:val="24"/>
              </w:rPr>
              <w:t xml:space="preserve"> undertakes to pay all fees or charges payable to any instrumentally of government or to any other duly constituted authority relating to the user or operation of the installation.</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5.</w:t>
            </w:r>
          </w:p>
        </w:tc>
        <w:tc>
          <w:tcPr>
            <w:tcW w:w="7020" w:type="dxa"/>
            <w:shd w:val="clear" w:color="auto" w:fill="FFFFFF"/>
          </w:tcPr>
          <w:p w:rsidR="006958A1" w:rsidRPr="006958A1" w:rsidRDefault="006958A1" w:rsidP="006958A1">
            <w:pPr>
              <w:rPr>
                <w:bCs/>
                <w:szCs w:val="24"/>
              </w:rPr>
            </w:pPr>
            <w:r w:rsidRPr="006958A1">
              <w:rPr>
                <w:szCs w:val="24"/>
              </w:rPr>
              <w:t xml:space="preserve">The </w:t>
            </w:r>
            <w:r w:rsidRPr="006958A1">
              <w:rPr>
                <w:b/>
                <w:szCs w:val="24"/>
              </w:rPr>
              <w:t>PROVIDER</w:t>
            </w:r>
            <w:r w:rsidRPr="006958A1">
              <w:rPr>
                <w:szCs w:val="24"/>
              </w:rPr>
              <w:t xml:space="preserve"> shall coordinate with the authorized and/or designated </w:t>
            </w:r>
            <w:r w:rsidRPr="006958A1">
              <w:rPr>
                <w:b/>
                <w:szCs w:val="24"/>
              </w:rPr>
              <w:t>OSG</w:t>
            </w:r>
            <w:r w:rsidRPr="006958A1">
              <w:rPr>
                <w:szCs w:val="24"/>
              </w:rPr>
              <w:t xml:space="preserve"> personnel in the performance of their jobs.</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6.</w:t>
            </w:r>
          </w:p>
        </w:tc>
        <w:tc>
          <w:tcPr>
            <w:tcW w:w="7020" w:type="dxa"/>
            <w:shd w:val="clear" w:color="auto" w:fill="FFFFFF"/>
          </w:tcPr>
          <w:p w:rsidR="006958A1" w:rsidRPr="006958A1" w:rsidRDefault="006958A1" w:rsidP="006958A1">
            <w:pPr>
              <w:rPr>
                <w:bCs/>
                <w:szCs w:val="24"/>
              </w:rPr>
            </w:pPr>
            <w:r w:rsidRPr="006958A1">
              <w:rPr>
                <w:szCs w:val="24"/>
              </w:rPr>
              <w:t xml:space="preserve">The </w:t>
            </w:r>
            <w:r w:rsidRPr="006958A1">
              <w:rPr>
                <w:b/>
                <w:szCs w:val="24"/>
              </w:rPr>
              <w:t>PROVIDER</w:t>
            </w:r>
            <w:r w:rsidRPr="006958A1">
              <w:rPr>
                <w:szCs w:val="24"/>
              </w:rPr>
              <w:t xml:space="preserve"> shall be liable for loss, damage or injury due directly or indirectly through the fault or negligence of its personnel. It shall assume full responsibility thereof and the </w:t>
            </w:r>
            <w:r w:rsidRPr="006958A1">
              <w:rPr>
                <w:b/>
                <w:szCs w:val="24"/>
              </w:rPr>
              <w:t>OSG</w:t>
            </w:r>
            <w:r w:rsidRPr="006958A1">
              <w:rPr>
                <w:szCs w:val="24"/>
              </w:rPr>
              <w:t xml:space="preserve"> shall be specifically released from any and all liabilities arising therefrom.</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lastRenderedPageBreak/>
              <w:t>7.</w:t>
            </w:r>
          </w:p>
        </w:tc>
        <w:tc>
          <w:tcPr>
            <w:tcW w:w="7020" w:type="dxa"/>
            <w:shd w:val="clear" w:color="auto" w:fill="FFFFFF"/>
          </w:tcPr>
          <w:p w:rsidR="006958A1" w:rsidRPr="006958A1" w:rsidRDefault="006958A1" w:rsidP="006958A1">
            <w:pPr>
              <w:rPr>
                <w:bCs/>
                <w:szCs w:val="24"/>
              </w:rPr>
            </w:pPr>
            <w:r w:rsidRPr="006958A1">
              <w:rPr>
                <w:szCs w:val="24"/>
              </w:rPr>
              <w:t xml:space="preserve">The </w:t>
            </w:r>
            <w:r w:rsidRPr="006958A1">
              <w:rPr>
                <w:b/>
                <w:szCs w:val="24"/>
              </w:rPr>
              <w:t xml:space="preserve">PROVIDER </w:t>
            </w:r>
            <w:r w:rsidRPr="006958A1">
              <w:rPr>
                <w:szCs w:val="24"/>
              </w:rPr>
              <w:t>shall neither assign, transfer, pledge, nor subcontract any part or interest thein.</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8.</w:t>
            </w:r>
          </w:p>
        </w:tc>
        <w:tc>
          <w:tcPr>
            <w:tcW w:w="7020" w:type="dxa"/>
            <w:shd w:val="clear" w:color="auto" w:fill="FFFFFF"/>
          </w:tcPr>
          <w:p w:rsidR="006958A1" w:rsidRPr="006958A1" w:rsidRDefault="006958A1" w:rsidP="006958A1">
            <w:pPr>
              <w:rPr>
                <w:bCs/>
                <w:szCs w:val="24"/>
              </w:rPr>
            </w:pPr>
            <w:r w:rsidRPr="006958A1">
              <w:rPr>
                <w:szCs w:val="24"/>
              </w:rPr>
              <w:t xml:space="preserve">The </w:t>
            </w:r>
            <w:r w:rsidRPr="006958A1">
              <w:rPr>
                <w:b/>
                <w:szCs w:val="24"/>
              </w:rPr>
              <w:t>PROVIDER</w:t>
            </w:r>
            <w:r w:rsidRPr="006958A1">
              <w:rPr>
                <w:szCs w:val="24"/>
              </w:rPr>
              <w:t xml:space="preserve"> must submit written proof that their company has experience/specialization in deploying printing solution for at least ten (10) companies (government and private) for five (5) years or more.</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9.</w:t>
            </w:r>
          </w:p>
        </w:tc>
        <w:tc>
          <w:tcPr>
            <w:tcW w:w="7020" w:type="dxa"/>
            <w:shd w:val="clear" w:color="auto" w:fill="FFFFFF"/>
          </w:tcPr>
          <w:p w:rsidR="006958A1" w:rsidRPr="006958A1" w:rsidRDefault="006958A1" w:rsidP="006958A1">
            <w:pPr>
              <w:rPr>
                <w:bCs/>
                <w:szCs w:val="24"/>
              </w:rPr>
            </w:pPr>
            <w:r w:rsidRPr="006958A1">
              <w:rPr>
                <w:szCs w:val="24"/>
              </w:rPr>
              <w:t>Raw materials of remanufactured toners must be ISO 9001:2008 and ISO 14001:2004 certified.</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10.</w:t>
            </w:r>
          </w:p>
        </w:tc>
        <w:tc>
          <w:tcPr>
            <w:tcW w:w="7020" w:type="dxa"/>
            <w:shd w:val="clear" w:color="auto" w:fill="FFFFFF"/>
          </w:tcPr>
          <w:p w:rsidR="006958A1" w:rsidRPr="006958A1" w:rsidRDefault="006958A1" w:rsidP="006958A1">
            <w:pPr>
              <w:rPr>
                <w:szCs w:val="24"/>
              </w:rPr>
            </w:pPr>
            <w:r w:rsidRPr="006958A1">
              <w:rPr>
                <w:szCs w:val="24"/>
              </w:rPr>
              <w:t xml:space="preserve">The </w:t>
            </w:r>
            <w:r w:rsidRPr="006958A1">
              <w:rPr>
                <w:b/>
                <w:szCs w:val="24"/>
              </w:rPr>
              <w:t xml:space="preserve">PROVIDER </w:t>
            </w:r>
            <w:r w:rsidRPr="006958A1">
              <w:rPr>
                <w:szCs w:val="24"/>
              </w:rPr>
              <w:t>warrants that it shall conform strictly with the terms and condition of this Term of Reference.</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11.</w:t>
            </w:r>
          </w:p>
        </w:tc>
        <w:tc>
          <w:tcPr>
            <w:tcW w:w="7020" w:type="dxa"/>
            <w:shd w:val="clear" w:color="auto" w:fill="FFFFFF"/>
          </w:tcPr>
          <w:p w:rsidR="006958A1" w:rsidRPr="006958A1" w:rsidRDefault="006958A1" w:rsidP="006958A1">
            <w:pPr>
              <w:rPr>
                <w:szCs w:val="24"/>
              </w:rPr>
            </w:pPr>
            <w:r w:rsidRPr="006958A1">
              <w:rPr>
                <w:szCs w:val="24"/>
              </w:rPr>
              <w:t xml:space="preserve">The </w:t>
            </w:r>
            <w:r w:rsidRPr="006958A1">
              <w:rPr>
                <w:b/>
                <w:szCs w:val="24"/>
              </w:rPr>
              <w:t xml:space="preserve">PROVIDER </w:t>
            </w:r>
            <w:r w:rsidRPr="006958A1">
              <w:rPr>
                <w:szCs w:val="24"/>
              </w:rPr>
              <w:t>must be able to offer the OSG a “no-capital-outlay” for a period of One (1) year.</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12.</w:t>
            </w:r>
          </w:p>
        </w:tc>
        <w:tc>
          <w:tcPr>
            <w:tcW w:w="7020" w:type="dxa"/>
            <w:shd w:val="clear" w:color="auto" w:fill="FFFFFF"/>
          </w:tcPr>
          <w:p w:rsidR="006958A1" w:rsidRPr="006958A1" w:rsidRDefault="006958A1" w:rsidP="006958A1">
            <w:pPr>
              <w:rPr>
                <w:szCs w:val="24"/>
              </w:rPr>
            </w:pPr>
            <w:r w:rsidRPr="006958A1">
              <w:rPr>
                <w:szCs w:val="24"/>
              </w:rPr>
              <w:t xml:space="preserve">The </w:t>
            </w:r>
            <w:r w:rsidRPr="006958A1">
              <w:rPr>
                <w:b/>
                <w:szCs w:val="24"/>
              </w:rPr>
              <w:t xml:space="preserve">PROVIDER </w:t>
            </w:r>
            <w:r w:rsidRPr="006958A1">
              <w:rPr>
                <w:szCs w:val="24"/>
              </w:rPr>
              <w:t>must have a certified Toner Cartridge Technician.</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13.</w:t>
            </w:r>
          </w:p>
        </w:tc>
        <w:tc>
          <w:tcPr>
            <w:tcW w:w="7020" w:type="dxa"/>
            <w:shd w:val="clear" w:color="auto" w:fill="FFFFFF"/>
          </w:tcPr>
          <w:p w:rsidR="006958A1" w:rsidRPr="006958A1" w:rsidRDefault="006958A1" w:rsidP="006958A1">
            <w:pPr>
              <w:rPr>
                <w:szCs w:val="24"/>
              </w:rPr>
            </w:pPr>
            <w:r w:rsidRPr="006958A1">
              <w:rPr>
                <w:szCs w:val="24"/>
              </w:rPr>
              <w:t>With latest BIR Tax Clearance.</w:t>
            </w:r>
          </w:p>
        </w:tc>
        <w:tc>
          <w:tcPr>
            <w:tcW w:w="1530" w:type="dxa"/>
            <w:shd w:val="clear" w:color="auto" w:fill="FFFFFF"/>
          </w:tcPr>
          <w:p w:rsidR="006958A1" w:rsidRPr="006958A1" w:rsidRDefault="006958A1" w:rsidP="006958A1"/>
        </w:tc>
      </w:tr>
    </w:tbl>
    <w:p w:rsidR="006958A1" w:rsidRPr="006958A1" w:rsidRDefault="006958A1" w:rsidP="006958A1">
      <w:pPr>
        <w:ind w:left="180"/>
        <w:rPr>
          <w:b/>
          <w:sz w:val="28"/>
          <w:szCs w:val="2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020"/>
        <w:gridCol w:w="1530"/>
      </w:tblGrid>
      <w:tr w:rsidR="006958A1" w:rsidRPr="006958A1" w:rsidTr="00095DD5">
        <w:trPr>
          <w:trHeight w:val="440"/>
        </w:trPr>
        <w:tc>
          <w:tcPr>
            <w:tcW w:w="9360" w:type="dxa"/>
            <w:gridSpan w:val="3"/>
            <w:shd w:val="clear" w:color="auto" w:fill="FFFFFF"/>
            <w:vAlign w:val="center"/>
          </w:tcPr>
          <w:p w:rsidR="006958A1" w:rsidRPr="006958A1" w:rsidRDefault="006958A1" w:rsidP="006958A1">
            <w:pPr>
              <w:jc w:val="center"/>
              <w:rPr>
                <w:b/>
                <w:bCs/>
                <w:color w:val="000000"/>
                <w:sz w:val="28"/>
                <w:szCs w:val="28"/>
              </w:rPr>
            </w:pPr>
            <w:r w:rsidRPr="006958A1">
              <w:rPr>
                <w:b/>
                <w:sz w:val="28"/>
                <w:szCs w:val="28"/>
              </w:rPr>
              <w:t>III. Pre-Termination of the Contract</w:t>
            </w:r>
          </w:p>
        </w:tc>
      </w:tr>
      <w:tr w:rsidR="006958A1" w:rsidRPr="006958A1" w:rsidTr="00095DD5">
        <w:trPr>
          <w:trHeight w:val="440"/>
        </w:trPr>
        <w:tc>
          <w:tcPr>
            <w:tcW w:w="810" w:type="dxa"/>
            <w:shd w:val="clear" w:color="auto" w:fill="FFFFFF"/>
            <w:vAlign w:val="center"/>
          </w:tcPr>
          <w:p w:rsidR="006958A1" w:rsidRPr="006958A1" w:rsidRDefault="006958A1" w:rsidP="006958A1">
            <w:pPr>
              <w:jc w:val="center"/>
              <w:rPr>
                <w:rFonts w:cs="Arial"/>
                <w:b/>
                <w:bCs/>
                <w:color w:val="000000"/>
              </w:rPr>
            </w:pPr>
            <w:r w:rsidRPr="006958A1">
              <w:rPr>
                <w:rFonts w:cs="Arial"/>
                <w:b/>
                <w:bCs/>
                <w:color w:val="000000"/>
              </w:rPr>
              <w:t>Item</w:t>
            </w:r>
          </w:p>
        </w:tc>
        <w:tc>
          <w:tcPr>
            <w:tcW w:w="7020" w:type="dxa"/>
            <w:shd w:val="clear" w:color="auto" w:fill="FFFFFF"/>
            <w:vAlign w:val="center"/>
          </w:tcPr>
          <w:p w:rsidR="006958A1" w:rsidRPr="006958A1" w:rsidRDefault="006958A1" w:rsidP="006958A1">
            <w:pPr>
              <w:jc w:val="center"/>
              <w:rPr>
                <w:rFonts w:cs="Arial"/>
                <w:b/>
                <w:bCs/>
                <w:color w:val="000000"/>
              </w:rPr>
            </w:pPr>
            <w:r w:rsidRPr="006958A1">
              <w:rPr>
                <w:rFonts w:cs="Arial"/>
                <w:b/>
                <w:bCs/>
                <w:color w:val="000000"/>
              </w:rPr>
              <w:t>Specification / Particular</w:t>
            </w:r>
          </w:p>
        </w:tc>
        <w:tc>
          <w:tcPr>
            <w:tcW w:w="1530" w:type="dxa"/>
            <w:shd w:val="clear" w:color="auto" w:fill="FFFFFF"/>
          </w:tcPr>
          <w:p w:rsidR="006958A1" w:rsidRPr="006958A1" w:rsidRDefault="006958A1" w:rsidP="006958A1">
            <w:pPr>
              <w:jc w:val="center"/>
              <w:rPr>
                <w:rFonts w:cs="Arial"/>
                <w:b/>
                <w:bCs/>
                <w:color w:val="000000"/>
              </w:rPr>
            </w:pPr>
            <w:r w:rsidRPr="006958A1">
              <w:rPr>
                <w:rFonts w:cs="Arial"/>
                <w:b/>
                <w:bCs/>
                <w:color w:val="000000"/>
              </w:rPr>
              <w:t>Statement of Compliance</w:t>
            </w:r>
          </w:p>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1.</w:t>
            </w:r>
          </w:p>
        </w:tc>
        <w:tc>
          <w:tcPr>
            <w:tcW w:w="7020" w:type="dxa"/>
            <w:shd w:val="clear" w:color="auto" w:fill="FFFFFF"/>
          </w:tcPr>
          <w:p w:rsidR="006958A1" w:rsidRPr="006958A1" w:rsidRDefault="006958A1" w:rsidP="006958A1">
            <w:pPr>
              <w:overflowPunct/>
              <w:autoSpaceDE/>
              <w:autoSpaceDN/>
              <w:adjustRightInd/>
              <w:spacing w:after="160" w:line="240" w:lineRule="auto"/>
              <w:contextualSpacing/>
              <w:textAlignment w:val="auto"/>
              <w:rPr>
                <w:szCs w:val="24"/>
              </w:rPr>
            </w:pPr>
            <w:r w:rsidRPr="006958A1">
              <w:rPr>
                <w:szCs w:val="24"/>
              </w:rPr>
              <w:t xml:space="preserve">The Contract may be pre-terminated by the OSG for any violation of the terms of the contract. In case of pre-termination, The </w:t>
            </w:r>
            <w:r w:rsidRPr="006958A1">
              <w:rPr>
                <w:b/>
                <w:szCs w:val="24"/>
              </w:rPr>
              <w:t xml:space="preserve">PROVIDER </w:t>
            </w:r>
            <w:r w:rsidRPr="006958A1">
              <w:rPr>
                <w:szCs w:val="24"/>
              </w:rPr>
              <w:t>shall be informed by the OSG, thirty (30) days prior to such pre-termination.</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2.</w:t>
            </w:r>
          </w:p>
        </w:tc>
        <w:tc>
          <w:tcPr>
            <w:tcW w:w="7020" w:type="dxa"/>
            <w:shd w:val="clear" w:color="auto" w:fill="FFFFFF"/>
          </w:tcPr>
          <w:p w:rsidR="006958A1" w:rsidRPr="006958A1" w:rsidRDefault="006958A1" w:rsidP="006958A1">
            <w:pPr>
              <w:overflowPunct/>
              <w:autoSpaceDE/>
              <w:autoSpaceDN/>
              <w:adjustRightInd/>
              <w:spacing w:after="160" w:line="240" w:lineRule="auto"/>
              <w:contextualSpacing/>
              <w:textAlignment w:val="auto"/>
              <w:rPr>
                <w:szCs w:val="24"/>
              </w:rPr>
            </w:pPr>
            <w:r w:rsidRPr="006958A1">
              <w:rPr>
                <w:szCs w:val="24"/>
              </w:rPr>
              <w:t xml:space="preserve">In case of pre-termination, The </w:t>
            </w:r>
            <w:r w:rsidRPr="006958A1">
              <w:rPr>
                <w:b/>
                <w:szCs w:val="24"/>
              </w:rPr>
              <w:t xml:space="preserve">PROVIDER </w:t>
            </w:r>
            <w:r w:rsidRPr="006958A1">
              <w:rPr>
                <w:szCs w:val="24"/>
              </w:rPr>
              <w:t>shall be</w:t>
            </w:r>
            <w:r w:rsidRPr="006958A1">
              <w:rPr>
                <w:b/>
                <w:szCs w:val="24"/>
              </w:rPr>
              <w:t xml:space="preserve"> </w:t>
            </w:r>
            <w:r w:rsidRPr="006958A1">
              <w:rPr>
                <w:szCs w:val="24"/>
              </w:rPr>
              <w:t>liable to an additional liquidated damages equivalent to one percent (1%) of the total contact price as provided by the Government Accounting and Auditing Manual (GAAM) and forfeiture of the Performance Security.</w:t>
            </w:r>
          </w:p>
        </w:tc>
        <w:tc>
          <w:tcPr>
            <w:tcW w:w="1530" w:type="dxa"/>
            <w:shd w:val="clear" w:color="auto" w:fill="FFFFFF"/>
          </w:tcPr>
          <w:p w:rsidR="006958A1" w:rsidRPr="006958A1" w:rsidRDefault="006958A1" w:rsidP="006958A1"/>
        </w:tc>
      </w:tr>
      <w:tr w:rsidR="006958A1" w:rsidRPr="006958A1" w:rsidTr="00095DD5">
        <w:trPr>
          <w:trHeight w:val="602"/>
        </w:trPr>
        <w:tc>
          <w:tcPr>
            <w:tcW w:w="810" w:type="dxa"/>
            <w:shd w:val="clear" w:color="auto" w:fill="FFFFFF"/>
          </w:tcPr>
          <w:p w:rsidR="006958A1" w:rsidRPr="006958A1" w:rsidRDefault="006958A1" w:rsidP="006958A1">
            <w:pPr>
              <w:jc w:val="center"/>
            </w:pPr>
            <w:r w:rsidRPr="006958A1">
              <w:t>3.</w:t>
            </w:r>
          </w:p>
        </w:tc>
        <w:tc>
          <w:tcPr>
            <w:tcW w:w="7020" w:type="dxa"/>
            <w:shd w:val="clear" w:color="auto" w:fill="FFFFFF"/>
          </w:tcPr>
          <w:p w:rsidR="006958A1" w:rsidRPr="006958A1" w:rsidRDefault="006958A1" w:rsidP="006958A1">
            <w:pPr>
              <w:overflowPunct/>
              <w:autoSpaceDE/>
              <w:autoSpaceDN/>
              <w:adjustRightInd/>
              <w:spacing w:after="160" w:line="240" w:lineRule="auto"/>
              <w:contextualSpacing/>
              <w:textAlignment w:val="auto"/>
              <w:rPr>
                <w:szCs w:val="24"/>
              </w:rPr>
            </w:pPr>
            <w:r w:rsidRPr="006958A1">
              <w:rPr>
                <w:szCs w:val="24"/>
              </w:rPr>
              <w:t xml:space="preserve">The OSG shall have the right to blacklist the </w:t>
            </w:r>
            <w:r w:rsidRPr="006958A1">
              <w:rPr>
                <w:b/>
                <w:szCs w:val="24"/>
              </w:rPr>
              <w:t>PROVIDER</w:t>
            </w:r>
            <w:r w:rsidRPr="006958A1">
              <w:rPr>
                <w:szCs w:val="24"/>
              </w:rPr>
              <w:t xml:space="preserve"> in case of pre-termination.</w:t>
            </w:r>
          </w:p>
        </w:tc>
        <w:tc>
          <w:tcPr>
            <w:tcW w:w="1530" w:type="dxa"/>
            <w:shd w:val="clear" w:color="auto" w:fill="FFFFFF"/>
          </w:tcPr>
          <w:p w:rsidR="006958A1" w:rsidRPr="006958A1" w:rsidRDefault="006958A1" w:rsidP="006958A1"/>
        </w:tc>
      </w:tr>
    </w:tbl>
    <w:p w:rsidR="006958A1" w:rsidRPr="006958A1" w:rsidRDefault="006958A1" w:rsidP="006958A1">
      <w:pPr>
        <w:ind w:left="180"/>
        <w:jc w:val="left"/>
      </w:pPr>
    </w:p>
    <w:p w:rsidR="006958A1" w:rsidRPr="006958A1" w:rsidRDefault="006958A1" w:rsidP="006958A1">
      <w:pPr>
        <w:ind w:left="180"/>
        <w:jc w:val="left"/>
      </w:pPr>
    </w:p>
    <w:p w:rsidR="006958A1" w:rsidRPr="006958A1" w:rsidRDefault="006958A1" w:rsidP="006958A1">
      <w:pPr>
        <w:jc w:val="left"/>
      </w:pPr>
    </w:p>
    <w:p w:rsidR="006958A1" w:rsidRPr="006958A1" w:rsidRDefault="006958A1" w:rsidP="006958A1">
      <w:pPr>
        <w:ind w:left="180"/>
        <w:jc w:val="left"/>
      </w:pPr>
      <w:proofErr w:type="spellStart"/>
      <w:r w:rsidRPr="006958A1">
        <w:t>Conforme</w:t>
      </w:r>
      <w:proofErr w:type="spellEnd"/>
      <w:r w:rsidRPr="006958A1">
        <w:t xml:space="preserve">:  </w:t>
      </w:r>
      <w:r w:rsidRPr="006958A1">
        <w:tab/>
      </w:r>
      <w:r w:rsidRPr="006958A1">
        <w:tab/>
        <w:t xml:space="preserve">       ___________________________________</w:t>
      </w:r>
    </w:p>
    <w:p w:rsidR="006958A1" w:rsidRPr="006958A1" w:rsidRDefault="006958A1" w:rsidP="006958A1">
      <w:pPr>
        <w:ind w:left="180"/>
        <w:jc w:val="left"/>
      </w:pPr>
      <w:r w:rsidRPr="006958A1">
        <w:tab/>
      </w:r>
      <w:r w:rsidRPr="006958A1">
        <w:tab/>
      </w:r>
      <w:r w:rsidRPr="006958A1">
        <w:tab/>
      </w:r>
      <w:r w:rsidRPr="006958A1">
        <w:tab/>
      </w:r>
      <w:r w:rsidRPr="006958A1">
        <w:tab/>
        <w:t xml:space="preserve">  (Name / Signature)</w:t>
      </w:r>
    </w:p>
    <w:p w:rsidR="006958A1" w:rsidRPr="006958A1" w:rsidRDefault="006958A1" w:rsidP="006958A1">
      <w:pPr>
        <w:ind w:left="180"/>
        <w:jc w:val="left"/>
      </w:pPr>
    </w:p>
    <w:p w:rsidR="006958A1" w:rsidRPr="006958A1" w:rsidRDefault="006958A1" w:rsidP="006958A1">
      <w:pPr>
        <w:ind w:left="180"/>
        <w:jc w:val="left"/>
      </w:pPr>
      <w:r w:rsidRPr="006958A1">
        <w:t>Designation/Position:        ___________________________________</w:t>
      </w:r>
    </w:p>
    <w:p w:rsidR="006958A1" w:rsidRPr="006958A1" w:rsidRDefault="006958A1" w:rsidP="006958A1">
      <w:pPr>
        <w:ind w:left="180"/>
        <w:jc w:val="left"/>
      </w:pPr>
    </w:p>
    <w:p w:rsidR="006958A1" w:rsidRPr="006958A1" w:rsidRDefault="006958A1" w:rsidP="006958A1">
      <w:pPr>
        <w:ind w:left="180"/>
        <w:jc w:val="left"/>
      </w:pPr>
      <w:r w:rsidRPr="006958A1">
        <w:t>Company:</w:t>
      </w:r>
      <w:r w:rsidRPr="006958A1">
        <w:tab/>
      </w:r>
      <w:r w:rsidRPr="006958A1">
        <w:tab/>
        <w:t xml:space="preserve">       ___________________________________</w:t>
      </w:r>
    </w:p>
    <w:p w:rsidR="006958A1" w:rsidRPr="006958A1" w:rsidRDefault="006958A1" w:rsidP="006958A1">
      <w:pPr>
        <w:ind w:left="180"/>
        <w:jc w:val="left"/>
      </w:pPr>
    </w:p>
    <w:p w:rsidR="006958A1" w:rsidRPr="006958A1" w:rsidRDefault="006958A1" w:rsidP="006958A1">
      <w:pPr>
        <w:ind w:left="180"/>
        <w:jc w:val="left"/>
      </w:pPr>
      <w:r w:rsidRPr="006958A1">
        <w:t>Address of the Company:  ___________________________________</w:t>
      </w:r>
    </w:p>
    <w:p w:rsidR="006958A1" w:rsidRPr="006958A1" w:rsidRDefault="006958A1" w:rsidP="006958A1">
      <w:pPr>
        <w:ind w:left="180"/>
        <w:jc w:val="left"/>
      </w:pPr>
    </w:p>
    <w:p w:rsidR="006958A1" w:rsidRPr="006958A1" w:rsidRDefault="006958A1" w:rsidP="006958A1">
      <w:pPr>
        <w:ind w:left="180"/>
        <w:jc w:val="left"/>
      </w:pPr>
      <w:r w:rsidRPr="006958A1">
        <w:t>Tel No/E-mail Address:    ___________________________________</w:t>
      </w:r>
    </w:p>
    <w:p w:rsidR="006958A1" w:rsidRPr="006958A1" w:rsidRDefault="006958A1" w:rsidP="006958A1">
      <w:pPr>
        <w:ind w:left="180"/>
        <w:jc w:val="left"/>
      </w:pPr>
    </w:p>
    <w:p w:rsidR="009E5164" w:rsidRPr="006958A1" w:rsidRDefault="006958A1" w:rsidP="006958A1">
      <w:r>
        <w:t xml:space="preserve">   </w:t>
      </w:r>
      <w:bookmarkStart w:id="0" w:name="_GoBack"/>
      <w:bookmarkEnd w:id="0"/>
      <w:r w:rsidRPr="006958A1">
        <w:t xml:space="preserve">Date:   </w:t>
      </w:r>
      <w:r w:rsidRPr="006958A1">
        <w:tab/>
        <w:t xml:space="preserve">                     ___________________________________</w:t>
      </w:r>
    </w:p>
    <w:sectPr w:rsidR="009E5164" w:rsidRPr="006958A1" w:rsidSect="005B6A14">
      <w:pgSz w:w="12242" w:h="18722" w:code="258"/>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3B2"/>
    <w:multiLevelType w:val="hybridMultilevel"/>
    <w:tmpl w:val="A43C1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980EFF"/>
    <w:multiLevelType w:val="hybridMultilevel"/>
    <w:tmpl w:val="08DA0E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F5821"/>
    <w:multiLevelType w:val="hybridMultilevel"/>
    <w:tmpl w:val="6CAEB7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2119F"/>
    <w:multiLevelType w:val="hybridMultilevel"/>
    <w:tmpl w:val="6C5EAB9A"/>
    <w:lvl w:ilvl="0" w:tplc="4FE0A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F52D2"/>
    <w:multiLevelType w:val="hybridMultilevel"/>
    <w:tmpl w:val="F6A24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F2F22"/>
    <w:multiLevelType w:val="hybridMultilevel"/>
    <w:tmpl w:val="ECA62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14"/>
    <w:rsid w:val="005B6A14"/>
    <w:rsid w:val="006958A1"/>
    <w:rsid w:val="009E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3069"/>
  <w15:chartTrackingRefBased/>
  <w15:docId w15:val="{07B8E0AA-9820-40FF-B28D-42F826B1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1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B6A14"/>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6A14"/>
    <w:rPr>
      <w:rFonts w:ascii="Times New Roman" w:eastAsia="Times New Roman" w:hAnsi="Times New Roman" w:cs="Times New Roman"/>
      <w:b/>
      <w:bCs/>
      <w:sz w:val="28"/>
      <w:szCs w:val="28"/>
    </w:rPr>
  </w:style>
  <w:style w:type="paragraph" w:styleId="ListParagraph">
    <w:name w:val="List Paragraph"/>
    <w:basedOn w:val="Normal"/>
    <w:uiPriority w:val="34"/>
    <w:qFormat/>
    <w:rsid w:val="005B6A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 Buat</dc:creator>
  <cp:keywords/>
  <dc:description/>
  <cp:lastModifiedBy>Christian D. Buat</cp:lastModifiedBy>
  <cp:revision>2</cp:revision>
  <dcterms:created xsi:type="dcterms:W3CDTF">2018-02-06T09:28:00Z</dcterms:created>
  <dcterms:modified xsi:type="dcterms:W3CDTF">2018-02-06T09:28:00Z</dcterms:modified>
</cp:coreProperties>
</file>